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31" w:rsidRPr="00476588" w:rsidRDefault="00680931" w:rsidP="00680931">
      <w:pPr>
        <w:jc w:val="both"/>
        <w:rPr>
          <w:sz w:val="18"/>
        </w:rPr>
      </w:pPr>
      <w:r w:rsidRPr="00476588">
        <w:rPr>
          <w:b/>
          <w:sz w:val="18"/>
        </w:rPr>
        <w:t xml:space="preserve">EK 19: </w:t>
      </w:r>
      <w:r w:rsidRPr="00476588">
        <w:rPr>
          <w:sz w:val="18"/>
        </w:rPr>
        <w:t>İADESİ TALEP EDİLEN KDV HESAPLAMA TABLOSU</w:t>
      </w:r>
    </w:p>
    <w:p w:rsidR="00680931" w:rsidRDefault="00680931" w:rsidP="00680931">
      <w:pPr>
        <w:jc w:val="both"/>
      </w:pPr>
    </w:p>
    <w:p w:rsidR="00680931" w:rsidRDefault="00680931" w:rsidP="00680931">
      <w:pPr>
        <w:jc w:val="both"/>
      </w:pPr>
    </w:p>
    <w:p w:rsidR="00680931" w:rsidRDefault="00680931" w:rsidP="00680931">
      <w:pPr>
        <w:jc w:val="both"/>
      </w:pPr>
    </w:p>
    <w:p w:rsidR="00680931" w:rsidRDefault="00680931" w:rsidP="00680931">
      <w:pPr>
        <w:jc w:val="both"/>
      </w:pPr>
    </w:p>
    <w:p w:rsidR="00680931" w:rsidRPr="00C76E5D" w:rsidRDefault="00680931" w:rsidP="00680931">
      <w:pPr>
        <w:jc w:val="both"/>
      </w:pPr>
    </w:p>
    <w:p w:rsidR="00680931" w:rsidRPr="00C76E5D" w:rsidRDefault="00680931" w:rsidP="00680931">
      <w:pPr>
        <w:jc w:val="both"/>
      </w:pPr>
    </w:p>
    <w:p w:rsidR="00680931" w:rsidRDefault="00680931" w:rsidP="00680931">
      <w:pPr>
        <w:spacing w:before="60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36"/>
        <w:gridCol w:w="904"/>
        <w:gridCol w:w="1028"/>
        <w:gridCol w:w="1257"/>
        <w:gridCol w:w="1028"/>
        <w:gridCol w:w="1028"/>
      </w:tblGrid>
      <w:tr w:rsidR="00680931" w:rsidRPr="00476588" w:rsidTr="00B66987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DÖNEM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İADE HAKKI DOĞURAN İŞLEM BEDELİ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İADESİ TALEP EDİLEBİLİR AZAMİ VERGİ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 xml:space="preserve">İADE HAKKI DOĞURAN İŞLEMİN BÜNYESİNE GİREN </w:t>
            </w:r>
            <w:bookmarkStart w:id="0" w:name="_GoBack"/>
            <w:bookmarkEnd w:id="0"/>
            <w:r w:rsidRPr="00476588">
              <w:rPr>
                <w:sz w:val="12"/>
                <w:szCs w:val="16"/>
              </w:rPr>
              <w:t>VERGİLER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</w:p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YÜKLENİLEN KDV TOPLAMI</w:t>
            </w: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İŞLEMİN BÜNYESİNE DOĞRUDAN GİREN VERGİLER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GENEL İMAL VE İDARE GİDERLERİNDEN İADE HESABINA VERİLEN PAY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  <w:szCs w:val="16"/>
              </w:rPr>
            </w:pPr>
            <w:r w:rsidRPr="00476588">
              <w:rPr>
                <w:sz w:val="12"/>
                <w:szCs w:val="16"/>
              </w:rPr>
              <w:t>ATİK’LER NEDENİYLE YÜKLENİLEN VERGİDEN İADE HESABINA VERİLEN PAY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center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  <w:tr w:rsidR="00680931" w:rsidRPr="00476588" w:rsidTr="00B66987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31" w:rsidRPr="00476588" w:rsidRDefault="00680931" w:rsidP="00B66987">
            <w:pPr>
              <w:jc w:val="both"/>
              <w:rPr>
                <w:sz w:val="12"/>
              </w:rPr>
            </w:pPr>
          </w:p>
        </w:tc>
      </w:tr>
    </w:tbl>
    <w:p w:rsidR="00476588" w:rsidRPr="00680931" w:rsidRDefault="00476588" w:rsidP="00680931"/>
    <w:sectPr w:rsidR="00476588" w:rsidRPr="00680931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C2" w:rsidRDefault="008F02C2">
      <w:r>
        <w:separator/>
      </w:r>
    </w:p>
  </w:endnote>
  <w:endnote w:type="continuationSeparator" w:id="0">
    <w:p w:rsidR="008F02C2" w:rsidRDefault="008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680931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C2" w:rsidRDefault="008F02C2">
      <w:r>
        <w:separator/>
      </w:r>
    </w:p>
  </w:footnote>
  <w:footnote w:type="continuationSeparator" w:id="0">
    <w:p w:rsidR="008F02C2" w:rsidRDefault="008F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80931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8F02C2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5AB1-A7DB-4E25-943E-3ABF7031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450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2014-06-06T10:05:00Z</dcterms:modified>
</cp:coreProperties>
</file>